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17E" w:rsidRDefault="00AB617E" w:rsidP="00AB617E">
      <w:pPr>
        <w:pStyle w:val="a5"/>
        <w:spacing w:line="240" w:lineRule="auto"/>
        <w:jc w:val="center"/>
        <w:rPr>
          <w:b/>
        </w:rPr>
      </w:pPr>
    </w:p>
    <w:p w:rsidR="00AB617E" w:rsidRDefault="00AB617E" w:rsidP="00AB617E">
      <w:pPr>
        <w:pStyle w:val="a5"/>
        <w:spacing w:line="240" w:lineRule="auto"/>
        <w:jc w:val="center"/>
        <w:rPr>
          <w:b/>
        </w:rPr>
      </w:pPr>
      <w:r w:rsidRPr="00AB617E">
        <w:rPr>
          <w:b/>
        </w:rPr>
        <w:t>О работе органов местного самоуправления</w:t>
      </w:r>
    </w:p>
    <w:p w:rsidR="00AB617E" w:rsidRDefault="00AB617E" w:rsidP="00AB617E">
      <w:pPr>
        <w:pStyle w:val="a5"/>
        <w:spacing w:line="240" w:lineRule="auto"/>
        <w:jc w:val="center"/>
        <w:rPr>
          <w:b/>
        </w:rPr>
      </w:pPr>
      <w:r w:rsidRPr="00AB617E">
        <w:rPr>
          <w:b/>
        </w:rPr>
        <w:t xml:space="preserve"> по обращениям граждан в сфере защиты прав потребителей </w:t>
      </w:r>
    </w:p>
    <w:p w:rsidR="00AB617E" w:rsidRPr="00AB617E" w:rsidRDefault="00AB617E" w:rsidP="00AB617E">
      <w:pPr>
        <w:pStyle w:val="a5"/>
        <w:spacing w:line="240" w:lineRule="auto"/>
        <w:jc w:val="center"/>
        <w:rPr>
          <w:b/>
        </w:rPr>
      </w:pPr>
      <w:r w:rsidRPr="00AB617E">
        <w:rPr>
          <w:b/>
        </w:rPr>
        <w:t>в 2019 году</w:t>
      </w:r>
    </w:p>
    <w:p w:rsidR="00AB617E" w:rsidRPr="00AB617E" w:rsidRDefault="00AB617E" w:rsidP="00AB617E">
      <w:pPr>
        <w:pStyle w:val="a4"/>
        <w:ind w:firstLine="709"/>
        <w:jc w:val="center"/>
        <w:rPr>
          <w:b/>
          <w:sz w:val="28"/>
          <w:szCs w:val="28"/>
        </w:rPr>
      </w:pPr>
    </w:p>
    <w:p w:rsidR="00AB617E" w:rsidRPr="00AB617E" w:rsidRDefault="00AB617E" w:rsidP="00AB617E">
      <w:pPr>
        <w:ind w:firstLine="708"/>
        <w:jc w:val="both"/>
        <w:rPr>
          <w:sz w:val="28"/>
          <w:szCs w:val="28"/>
        </w:rPr>
      </w:pPr>
      <w:r w:rsidRPr="00AB617E">
        <w:rPr>
          <w:sz w:val="28"/>
          <w:szCs w:val="28"/>
        </w:rPr>
        <w:t xml:space="preserve">Органы местного самоуправления </w:t>
      </w:r>
      <w:proofErr w:type="gramStart"/>
      <w:r w:rsidRPr="00AB617E">
        <w:rPr>
          <w:sz w:val="28"/>
          <w:szCs w:val="28"/>
        </w:rPr>
        <w:t>являются наиболее приближенными и доступными по месту жительства граждан и играют</w:t>
      </w:r>
      <w:proofErr w:type="gramEnd"/>
      <w:r w:rsidRPr="00AB617E">
        <w:rPr>
          <w:sz w:val="28"/>
          <w:szCs w:val="28"/>
        </w:rPr>
        <w:t xml:space="preserve"> первостепенную роль доверия граждан к закону и действиям государства. </w:t>
      </w:r>
      <w:proofErr w:type="gramStart"/>
      <w:r w:rsidRPr="00AB617E">
        <w:rPr>
          <w:sz w:val="28"/>
          <w:szCs w:val="28"/>
        </w:rPr>
        <w:t>В  Федеральный закон «Об общих принципах организации местного самоуправления в Российской Федерации» 30.07.2018 г. были внесены изменения, согласно которым они вправе осуществлять мероприятия по защите прав потребителей», виды которых в настоящее время закреплены в статье 44 Закона о защите прав потребителей» (среди них - рассмотрение жалоб потребителей, консультирование граждан по вопросам защиты их потребительских прав, обращение в суды в защиту прав</w:t>
      </w:r>
      <w:proofErr w:type="gramEnd"/>
      <w:r w:rsidRPr="00AB617E">
        <w:rPr>
          <w:sz w:val="28"/>
          <w:szCs w:val="28"/>
        </w:rPr>
        <w:t xml:space="preserve"> потребителей. </w:t>
      </w:r>
      <w:proofErr w:type="gramStart"/>
      <w:r w:rsidRPr="00AB617E">
        <w:rPr>
          <w:sz w:val="28"/>
          <w:szCs w:val="28"/>
        </w:rPr>
        <w:t>В соответствии с Федеральным </w:t>
      </w:r>
      <w:hyperlink r:id="rId5" w:anchor="dst100023" w:history="1">
        <w:r w:rsidRPr="00AB617E">
          <w:rPr>
            <w:rStyle w:val="a3"/>
            <w:sz w:val="28"/>
            <w:szCs w:val="28"/>
          </w:rPr>
          <w:t>законом</w:t>
        </w:r>
      </w:hyperlink>
      <w:r w:rsidRPr="00AB617E">
        <w:rPr>
          <w:sz w:val="28"/>
          <w:szCs w:val="28"/>
        </w:rPr>
        <w:t> от 18.03.2019 N 38-ФЗ в ст.44 Закона РФ «О защите прав потребителей) внесены изменения, согласно которым  органы местного самоуправления вправе разрабатывать муниципальные программы по защите прав потребителей).</w:t>
      </w:r>
      <w:proofErr w:type="gramEnd"/>
      <w:r w:rsidRPr="00AB617E">
        <w:rPr>
          <w:sz w:val="28"/>
          <w:szCs w:val="28"/>
        </w:rPr>
        <w:t xml:space="preserve"> Внесение этих изменений позволяет органам местного самоуправления системно содействовать обеспечению прав потребителей на местном уровне. На территории Новгородской области всеми муниципальными образованиями приняты программы, которыми предусмотрены информационно-просветительские мероприятия в сфере защиты прав потребителей. </w:t>
      </w:r>
    </w:p>
    <w:p w:rsidR="00AB617E" w:rsidRPr="00AB617E" w:rsidRDefault="00AB617E" w:rsidP="00AB617E">
      <w:pPr>
        <w:ind w:firstLine="708"/>
        <w:jc w:val="both"/>
        <w:rPr>
          <w:sz w:val="28"/>
          <w:szCs w:val="28"/>
        </w:rPr>
      </w:pPr>
      <w:r w:rsidRPr="00AB617E">
        <w:rPr>
          <w:sz w:val="28"/>
          <w:szCs w:val="28"/>
        </w:rPr>
        <w:t xml:space="preserve">На территории Новгородской области самостоятельные подразделения, реализующие полномочия по защите прав потребителей в порядке ст.44 Закона РФ «О защите прав потребителей» отсутствуют. Однако, в соответствии со статьей  44 Закона  о защите прав потребителей на территории муниципальных образований (образованы 22 муниципальных образования), специалисты органов местного самоуправления, в случае  обращения граждан, </w:t>
      </w:r>
      <w:proofErr w:type="gramStart"/>
      <w:r w:rsidRPr="00AB617E">
        <w:rPr>
          <w:sz w:val="28"/>
          <w:szCs w:val="28"/>
        </w:rPr>
        <w:t>рассматривают жалобы потребителей и консультируют</w:t>
      </w:r>
      <w:proofErr w:type="gramEnd"/>
      <w:r w:rsidRPr="00AB617E">
        <w:rPr>
          <w:sz w:val="28"/>
          <w:szCs w:val="28"/>
        </w:rPr>
        <w:t xml:space="preserve"> по вопросам защиты их прав. Работу в данном направлении в большинстве случаях проводят  специалисты  экономических комитетов (отделы экономики и торговли), либо профильными комитетами и отделами - отдел жилищного хозяйства, отдел коммунального хозяйства, финансово-экономического отдела и др.</w:t>
      </w:r>
    </w:p>
    <w:p w:rsidR="00AB617E" w:rsidRPr="00AB617E" w:rsidRDefault="00AB617E" w:rsidP="00AB617E">
      <w:pPr>
        <w:pStyle w:val="a5"/>
        <w:spacing w:line="240" w:lineRule="auto"/>
      </w:pPr>
      <w:r w:rsidRPr="00AB617E">
        <w:t xml:space="preserve">Так по итогам 2019 года специалистами Администраций </w:t>
      </w:r>
      <w:proofErr w:type="spellStart"/>
      <w:r w:rsidRPr="00AB617E">
        <w:t>В.Новгорода</w:t>
      </w:r>
      <w:proofErr w:type="spellEnd"/>
      <w:r w:rsidRPr="00AB617E">
        <w:t xml:space="preserve"> и муниципальных районов области рассмотрено 7254 обращения, что на 8% меньше по сравнению с 2018 годом (7882 обращений), из них 4850 обращений поступило в письменном виде. </w:t>
      </w:r>
      <w:proofErr w:type="gramStart"/>
      <w:r w:rsidRPr="00AB617E">
        <w:t>Если говорить о структуре обращений, то наибольшая часть обращений 4043, что составляет 55,8% от общего числа обращений (7254), касалась сферы ЖКХ, в сфере образования поступило 1636 (22,5%)</w:t>
      </w:r>
      <w:r w:rsidRPr="00AB617E">
        <w:rPr>
          <w:b/>
        </w:rPr>
        <w:t xml:space="preserve"> </w:t>
      </w:r>
      <w:r w:rsidRPr="00AB617E">
        <w:t>обращений, в сфере торговли (пищевыми продуктами и непродовольственными товарами) 315 (4,3%), в сфере предоставления транспортных услуг  307 (4,2%)</w:t>
      </w:r>
      <w:r w:rsidRPr="00AB617E">
        <w:rPr>
          <w:b/>
        </w:rPr>
        <w:t xml:space="preserve"> </w:t>
      </w:r>
      <w:r w:rsidRPr="00AB617E">
        <w:t xml:space="preserve">обращений, в сфере </w:t>
      </w:r>
      <w:r w:rsidRPr="00AB617E">
        <w:lastRenderedPageBreak/>
        <w:t>предоставления медицинских услуг 185 (2,6%), в сфере прочих услуг поступило 661 (9,1</w:t>
      </w:r>
      <w:proofErr w:type="gramEnd"/>
      <w:r w:rsidRPr="00AB617E">
        <w:t xml:space="preserve">%) обращения. </w:t>
      </w:r>
    </w:p>
    <w:p w:rsidR="00AB617E" w:rsidRPr="00AB617E" w:rsidRDefault="00AB617E" w:rsidP="00AB617E">
      <w:pPr>
        <w:pStyle w:val="a5"/>
        <w:spacing w:line="240" w:lineRule="auto"/>
      </w:pPr>
      <w:r w:rsidRPr="00AB617E">
        <w:t>Все обращения рассмотрены, дано 2667 консультаций, выявлено 382 нарушения норм законодательства, оказана помощь в составлении претензий и исковых заявлений 26</w:t>
      </w:r>
      <w:r w:rsidRPr="00AB617E">
        <w:rPr>
          <w:b/>
        </w:rPr>
        <w:t xml:space="preserve"> </w:t>
      </w:r>
      <w:r w:rsidRPr="00AB617E">
        <w:t>гражданам; через сайты, печатные и электронные СМИ дано 789 консультаций.</w:t>
      </w:r>
    </w:p>
    <w:p w:rsidR="00AB617E" w:rsidRPr="00AB617E" w:rsidRDefault="00AB617E" w:rsidP="00AB617E">
      <w:pPr>
        <w:pStyle w:val="a5"/>
        <w:spacing w:line="240" w:lineRule="auto"/>
      </w:pPr>
    </w:p>
    <w:p w:rsidR="00AB617E" w:rsidRPr="00AB617E" w:rsidRDefault="00AB617E" w:rsidP="00AB617E">
      <w:pPr>
        <w:pStyle w:val="a5"/>
        <w:spacing w:line="240" w:lineRule="auto"/>
        <w:jc w:val="center"/>
      </w:pPr>
      <w:r w:rsidRPr="00AB617E">
        <w:rPr>
          <w:b/>
        </w:rPr>
        <w:t>Деятельность специалистов муниципальных образований по защите прав потребителей по итогам 2019 года</w:t>
      </w:r>
    </w:p>
    <w:p w:rsidR="00AB617E" w:rsidRPr="00AB617E" w:rsidRDefault="00AB617E" w:rsidP="00AB617E">
      <w:pPr>
        <w:pStyle w:val="a5"/>
        <w:spacing w:line="240" w:lineRule="auto"/>
      </w:pPr>
      <w:r>
        <w:t>По результатам отчетов м</w:t>
      </w:r>
      <w:r w:rsidRPr="00AB617E">
        <w:t>униципальных образований о деятельности специалистов, направленной на защиту прав потребителей за 2019 год, следует отметить, что наибольшее количество обращений, поступивших и рассмотренных специалистами:</w:t>
      </w:r>
    </w:p>
    <w:p w:rsidR="00AB617E" w:rsidRPr="00AB617E" w:rsidRDefault="003A1CE3" w:rsidP="00AB617E">
      <w:pPr>
        <w:pStyle w:val="a5"/>
        <w:spacing w:line="240" w:lineRule="auto"/>
        <w:ind w:firstLine="0"/>
      </w:pPr>
      <w:r>
        <w:t>- отдела по предпринимательству и торговли</w:t>
      </w:r>
      <w:r w:rsidR="00AB617E" w:rsidRPr="00AB617E">
        <w:t xml:space="preserve"> </w:t>
      </w:r>
      <w:r>
        <w:t xml:space="preserve">комитета экономического развития и инвестиций </w:t>
      </w:r>
      <w:bookmarkStart w:id="0" w:name="_GoBack"/>
      <w:bookmarkEnd w:id="0"/>
      <w:r w:rsidR="00AB617E" w:rsidRPr="00AB617E">
        <w:t>Администрации Великого Новгорода – 3116 обращения, что от общего числа обращений составило  43,0% (2018г. – 2583 обращения);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>- Новгородского муниципального района – 1315 обращений (2018г. – 1380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Шимского</w:t>
      </w:r>
      <w:proofErr w:type="spellEnd"/>
      <w:r w:rsidRPr="00AB617E">
        <w:t xml:space="preserve"> муниципального района – 1141 обращений (2018г. – 859 обращений).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>Активная работа по консультированию граждан была проведена специалистами: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Крестецкого</w:t>
      </w:r>
      <w:proofErr w:type="spellEnd"/>
      <w:r w:rsidRPr="00AB617E">
        <w:t xml:space="preserve">   муниципального района – 57 обращений (2018г. – 55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Маловишерского</w:t>
      </w:r>
      <w:proofErr w:type="spellEnd"/>
      <w:r w:rsidRPr="00AB617E">
        <w:t xml:space="preserve"> муниципального района – 87 (2018 г. – 60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Окуловского</w:t>
      </w:r>
      <w:proofErr w:type="spellEnd"/>
      <w:r w:rsidRPr="00AB617E">
        <w:t xml:space="preserve"> муниципального района – 21 обращение (2018г. – 15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Парфинского</w:t>
      </w:r>
      <w:proofErr w:type="spellEnd"/>
      <w:r w:rsidRPr="00AB617E">
        <w:t xml:space="preserve"> муниципального района – 18</w:t>
      </w:r>
      <w:r w:rsidRPr="00AB617E">
        <w:rPr>
          <w:b/>
        </w:rPr>
        <w:t xml:space="preserve"> </w:t>
      </w:r>
      <w:r w:rsidRPr="00AB617E">
        <w:t>обращений (2018г. – 17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Пестовского</w:t>
      </w:r>
      <w:proofErr w:type="spellEnd"/>
      <w:r w:rsidRPr="00AB617E">
        <w:t xml:space="preserve"> муниципального района – 60 обращений (2018г. – 60 обращений);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- </w:t>
      </w:r>
      <w:proofErr w:type="spellStart"/>
      <w:r w:rsidRPr="00AB617E">
        <w:t>Чудовского</w:t>
      </w:r>
      <w:proofErr w:type="spellEnd"/>
      <w:r w:rsidRPr="00AB617E">
        <w:t xml:space="preserve"> муниципального района – 568 обращений (2018г. – 353 обращения);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>- Холмского муниципального района -14 обращений (2018 г. – 9 обращений).</w:t>
      </w:r>
    </w:p>
    <w:p w:rsidR="00AB617E" w:rsidRPr="00AB617E" w:rsidRDefault="00AB617E" w:rsidP="00AB617E">
      <w:pPr>
        <w:pStyle w:val="a5"/>
        <w:spacing w:line="240" w:lineRule="auto"/>
        <w:ind w:firstLine="0"/>
      </w:pPr>
      <w:r w:rsidRPr="00AB617E">
        <w:t xml:space="preserve">По Батецкому, </w:t>
      </w:r>
      <w:proofErr w:type="spellStart"/>
      <w:r w:rsidRPr="00AB617E">
        <w:t>Волотовскому</w:t>
      </w:r>
      <w:proofErr w:type="spellEnd"/>
      <w:r w:rsidRPr="00AB617E">
        <w:t xml:space="preserve">; Валдайскому, </w:t>
      </w:r>
      <w:proofErr w:type="spellStart"/>
      <w:r w:rsidRPr="00AB617E">
        <w:t>Демянскому</w:t>
      </w:r>
      <w:proofErr w:type="spellEnd"/>
      <w:r w:rsidRPr="00AB617E">
        <w:t xml:space="preserve">, </w:t>
      </w:r>
      <w:proofErr w:type="spellStart"/>
      <w:r w:rsidRPr="00AB617E">
        <w:t>Любытинскому</w:t>
      </w:r>
      <w:proofErr w:type="spellEnd"/>
      <w:r w:rsidRPr="00AB617E">
        <w:t xml:space="preserve">, </w:t>
      </w:r>
      <w:proofErr w:type="spellStart"/>
      <w:r w:rsidRPr="00AB617E">
        <w:t>Солецкому</w:t>
      </w:r>
      <w:proofErr w:type="spellEnd"/>
      <w:r w:rsidRPr="00AB617E">
        <w:t xml:space="preserve">, Холмскому, </w:t>
      </w:r>
      <w:proofErr w:type="spellStart"/>
      <w:r w:rsidRPr="00AB617E">
        <w:t>Хвойнинскому</w:t>
      </w:r>
      <w:proofErr w:type="spellEnd"/>
      <w:r w:rsidRPr="00AB617E">
        <w:t xml:space="preserve"> и </w:t>
      </w:r>
      <w:proofErr w:type="spellStart"/>
      <w:r w:rsidRPr="00AB617E">
        <w:t>Боровичскому</w:t>
      </w:r>
      <w:proofErr w:type="spellEnd"/>
      <w:r w:rsidRPr="00AB617E">
        <w:t xml:space="preserve">  муниципальным районам произошло снижение числа поступивших и рассмотренных обращений.</w:t>
      </w:r>
    </w:p>
    <w:p w:rsidR="00AB617E" w:rsidRPr="00AB617E" w:rsidRDefault="00AB617E" w:rsidP="00AB617E">
      <w:pPr>
        <w:pStyle w:val="a5"/>
        <w:spacing w:line="240" w:lineRule="auto"/>
      </w:pPr>
      <w:r w:rsidRPr="00AB617E">
        <w:t xml:space="preserve">Следует отметить, что за период 2019 года ни одного обращения не рассмотрено специалистами </w:t>
      </w:r>
      <w:proofErr w:type="spellStart"/>
      <w:r w:rsidRPr="00AB617E">
        <w:t>Поддорского</w:t>
      </w:r>
      <w:proofErr w:type="spellEnd"/>
      <w:r w:rsidRPr="00AB617E">
        <w:t xml:space="preserve">, </w:t>
      </w:r>
      <w:proofErr w:type="spellStart"/>
      <w:r w:rsidRPr="00AB617E">
        <w:t>Маревского</w:t>
      </w:r>
      <w:proofErr w:type="spellEnd"/>
      <w:r w:rsidRPr="00AB617E">
        <w:t xml:space="preserve">, и Старорусского района. Обращения граждан рассматривают специалисты территориальных отделов Управления. </w:t>
      </w:r>
    </w:p>
    <w:p w:rsidR="00AB617E" w:rsidRDefault="00AB617E" w:rsidP="00AB617E">
      <w:pPr>
        <w:pStyle w:val="a5"/>
        <w:spacing w:line="240" w:lineRule="auto"/>
      </w:pPr>
    </w:p>
    <w:p w:rsidR="00AB617E" w:rsidRDefault="00AB617E" w:rsidP="00AB617E">
      <w:pPr>
        <w:pStyle w:val="a5"/>
        <w:spacing w:line="240" w:lineRule="auto"/>
      </w:pPr>
    </w:p>
    <w:p w:rsidR="00AB617E" w:rsidRPr="00AB617E" w:rsidRDefault="00AB617E" w:rsidP="00AB617E">
      <w:pPr>
        <w:pStyle w:val="a5"/>
        <w:spacing w:line="240" w:lineRule="auto"/>
      </w:pPr>
    </w:p>
    <w:p w:rsidR="00AB617E" w:rsidRDefault="00AB617E" w:rsidP="00AB617E">
      <w:pPr>
        <w:jc w:val="center"/>
        <w:rPr>
          <w:b/>
          <w:sz w:val="28"/>
          <w:szCs w:val="28"/>
        </w:rPr>
      </w:pPr>
    </w:p>
    <w:p w:rsidR="00AB617E" w:rsidRDefault="00AB617E" w:rsidP="00AB617E">
      <w:pPr>
        <w:jc w:val="center"/>
        <w:rPr>
          <w:b/>
          <w:sz w:val="28"/>
          <w:szCs w:val="28"/>
        </w:rPr>
      </w:pPr>
    </w:p>
    <w:p w:rsidR="00AB617E" w:rsidRPr="00AB617E" w:rsidRDefault="00AB617E" w:rsidP="00AB617E">
      <w:pPr>
        <w:jc w:val="center"/>
        <w:rPr>
          <w:b/>
          <w:sz w:val="28"/>
          <w:szCs w:val="28"/>
        </w:rPr>
      </w:pPr>
      <w:r w:rsidRPr="00AB617E">
        <w:rPr>
          <w:b/>
          <w:sz w:val="28"/>
          <w:szCs w:val="28"/>
        </w:rPr>
        <w:t>Количество обращений, рассмотренных органами местного самоуправления в 2019 г. и работа по информированию потребителей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1418"/>
        <w:gridCol w:w="1403"/>
        <w:gridCol w:w="1556"/>
        <w:gridCol w:w="2109"/>
      </w:tblGrid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 xml:space="preserve">№ </w:t>
            </w:r>
            <w:proofErr w:type="gramStart"/>
            <w:r w:rsidRPr="00AB617E">
              <w:rPr>
                <w:sz w:val="28"/>
                <w:szCs w:val="28"/>
              </w:rPr>
              <w:t>п</w:t>
            </w:r>
            <w:proofErr w:type="gramEnd"/>
            <w:r w:rsidRPr="00AB617E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</w:p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РАЙОНЫ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Количество обращений</w:t>
            </w:r>
          </w:p>
          <w:p w:rsidR="00AB617E" w:rsidRPr="00AB617E" w:rsidRDefault="00AB617E" w:rsidP="001E2418">
            <w:pPr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Дано консультаций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Оказана помощь в составлении претензий, исковых заявлений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Количество разъяснений по каналам информационной связи (сайты, СМИ)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</w:p>
          <w:p w:rsidR="00AB617E" w:rsidRPr="00AB617E" w:rsidRDefault="00AB617E" w:rsidP="001E2418">
            <w:pPr>
              <w:rPr>
                <w:sz w:val="28"/>
                <w:szCs w:val="28"/>
              </w:rPr>
            </w:pPr>
          </w:p>
          <w:p w:rsidR="00AB617E" w:rsidRPr="00AB617E" w:rsidRDefault="00AB617E" w:rsidP="001E2418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</w:p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</w:p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7254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</w:p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2667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</w:p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</w:p>
          <w:p w:rsidR="00AB617E" w:rsidRPr="00AB617E" w:rsidRDefault="00AB617E" w:rsidP="001E2418">
            <w:pPr>
              <w:jc w:val="center"/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789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Батецкий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29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29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27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Валдайский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Волотовский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134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134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Демянский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7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7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Крестецкий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57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Любытинский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Маловишерский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87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61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Маревский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Мошенской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 xml:space="preserve">Новгородский 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1315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445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175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Окуловский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21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21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47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Парфинский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18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18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Пестовский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60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3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П</w:t>
            </w:r>
            <w:r w:rsidRPr="00AB617E">
              <w:rPr>
                <w:b/>
                <w:sz w:val="28"/>
                <w:szCs w:val="28"/>
              </w:rPr>
              <w:t>оддорский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Солецкий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Хвойнинский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Холмский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9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9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Чудовский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568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60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483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Шимский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1141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1122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25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Боровичский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682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682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10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12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Старорусский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  <w:tr w:rsidR="00AB617E" w:rsidRPr="00AB617E" w:rsidTr="00AB617E">
        <w:tc>
          <w:tcPr>
            <w:tcW w:w="675" w:type="dxa"/>
          </w:tcPr>
          <w:p w:rsidR="00AB617E" w:rsidRPr="00AB617E" w:rsidRDefault="00AB617E" w:rsidP="001E2418">
            <w:pPr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AB617E" w:rsidRPr="00AB617E" w:rsidRDefault="00AB617E" w:rsidP="001E2418">
            <w:pPr>
              <w:rPr>
                <w:b/>
                <w:sz w:val="28"/>
                <w:szCs w:val="28"/>
              </w:rPr>
            </w:pPr>
            <w:r w:rsidRPr="00AB617E">
              <w:rPr>
                <w:b/>
                <w:sz w:val="28"/>
                <w:szCs w:val="28"/>
              </w:rPr>
              <w:t>Великий Новгород</w:t>
            </w:r>
          </w:p>
        </w:tc>
        <w:tc>
          <w:tcPr>
            <w:tcW w:w="1418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3116</w:t>
            </w:r>
          </w:p>
        </w:tc>
        <w:tc>
          <w:tcPr>
            <w:tcW w:w="1403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1556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  <w:tc>
          <w:tcPr>
            <w:tcW w:w="2109" w:type="dxa"/>
          </w:tcPr>
          <w:p w:rsidR="00AB617E" w:rsidRPr="00AB617E" w:rsidRDefault="00AB617E" w:rsidP="001E2418">
            <w:pPr>
              <w:jc w:val="center"/>
              <w:rPr>
                <w:sz w:val="28"/>
                <w:szCs w:val="28"/>
              </w:rPr>
            </w:pPr>
            <w:r w:rsidRPr="00AB617E">
              <w:rPr>
                <w:sz w:val="28"/>
                <w:szCs w:val="28"/>
              </w:rPr>
              <w:t>-</w:t>
            </w:r>
          </w:p>
        </w:tc>
      </w:tr>
    </w:tbl>
    <w:p w:rsidR="00AB617E" w:rsidRPr="00AB617E" w:rsidRDefault="00AB617E" w:rsidP="00AB617E">
      <w:pPr>
        <w:rPr>
          <w:sz w:val="28"/>
          <w:szCs w:val="28"/>
        </w:rPr>
      </w:pPr>
    </w:p>
    <w:p w:rsidR="00AB617E" w:rsidRPr="00AB617E" w:rsidRDefault="00AB617E" w:rsidP="00AB617E">
      <w:pPr>
        <w:pStyle w:val="a5"/>
        <w:spacing w:line="240" w:lineRule="auto"/>
      </w:pPr>
    </w:p>
    <w:p w:rsidR="00EE74FE" w:rsidRPr="00AB617E" w:rsidRDefault="00EE74FE">
      <w:pPr>
        <w:rPr>
          <w:sz w:val="28"/>
          <w:szCs w:val="28"/>
        </w:rPr>
      </w:pPr>
    </w:p>
    <w:sectPr w:rsidR="00EE74FE" w:rsidRPr="00AB6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E"/>
    <w:rsid w:val="003A1CE3"/>
    <w:rsid w:val="00AB617E"/>
    <w:rsid w:val="00EE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17E"/>
    <w:rPr>
      <w:color w:val="0000FF"/>
      <w:u w:val="single"/>
    </w:rPr>
  </w:style>
  <w:style w:type="paragraph" w:styleId="a4">
    <w:name w:val="No Spacing"/>
    <w:uiPriority w:val="1"/>
    <w:qFormat/>
    <w:rsid w:val="00A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Н"/>
    <w:basedOn w:val="a"/>
    <w:rsid w:val="00AB617E"/>
    <w:pPr>
      <w:spacing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17E"/>
    <w:rPr>
      <w:color w:val="0000FF"/>
      <w:u w:val="single"/>
    </w:rPr>
  </w:style>
  <w:style w:type="paragraph" w:styleId="a4">
    <w:name w:val="No Spacing"/>
    <w:uiPriority w:val="1"/>
    <w:qFormat/>
    <w:rsid w:val="00AB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ОН"/>
    <w:basedOn w:val="a"/>
    <w:rsid w:val="00AB617E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2041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2</cp:revision>
  <dcterms:created xsi:type="dcterms:W3CDTF">2020-03-10T08:54:00Z</dcterms:created>
  <dcterms:modified xsi:type="dcterms:W3CDTF">2020-03-12T08:43:00Z</dcterms:modified>
</cp:coreProperties>
</file>